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ОТЧЕТ ЗА ДЕЙНОСТТА НА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НЧ „БОЯН ПЕНЕВ – 1949 Г.” ПРЕЗ 2020 ГОДИНА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Уважаеми членове на читалището, скъпи гости!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Днес провеждаме редовно годишно отчетно събрание на НЧ „Боян Пенев“, на което ще отчетем дейността през 2020 година. 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Както знаете читалището е традиционно самоуправляващо се българско културно - просветно сдружение, което изпълнява и държавни културно - просветни задачи. Читалищната дейност се подпомага от общината, тъй като въпреки институционалната си независимост, читалището приема за приоритет в своята дейност общинската културна политика.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Изминалата година беше странна и необикновена. Световната пандемия, предизвикана от КОВИД 19 и обявеното извънредно положение в страната на 13 март, ни постави в много трудни и необичайни условия за работа. Дезинфекция, дистанция, защитни маски, ограничаване на достъпа станаха част от ежедневието ни. Прекратена беше работата на школите, клубовете и съставите за любителско творчество през почти целият период. Във времето, в което библиотеката работи, се спазваха всички противоепидемиологични мерки, в т.ч. влизане само по 1 читател, карантинен период на върнатите книги, задължително влизане с маски, дезинфекция на ръцете и т.н. Провеждането на мероприятия беше или изцяло забранено, или разрешено при заетост до 30 процента от капацитета на залите. 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Ще разгледаме дейността на читалището в направленията – библиотечно обслужване, художествено – творческа дейност, работа по проекти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 финансова дейност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Едно от основните звена в читалището е читалищната библиотека, която, макар и при трудни и необичайни условия, продължи да работи за постигането на основните си цели – максимално задоволяване на читателските търсения с литература и информация.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Ето и малко статистически данни:</w:t>
      </w:r>
    </w:p>
    <w:p>
      <w:pPr>
        <w:pStyle w:val="Normal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Потребители на библиотеката (читатели) – 303; От тях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до 14 години - 133 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Общо посещения 1 687, като от тях в Заемна за дома 1 436 и в Читалня – 251.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Заети библиотечни материали – 4 889 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Постъпили библиотечни материали през 2020 г. (новозакупени и от дарения)- 785 екземпляра 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Отчислени - 220 екземпляра (остарели по съдържание и физически повредени) 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Наличност на библиотечния фонд към 01.01.2021 г. - 17 990 екземпляра.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Библиотечната документация – Инвентарни книги и Книга за движение на библиотечния фонд, е в пълна изрядност. 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През 2020 г. библиотеката кандидатства с проект към Министерството на културата за финансова подкрепа за обновяване на библиотечните фондове по програма „Българските библиотеки – съвременни центрове за четене и информираност“. Проектът ни беше одобрен и бяха закупени 312 книги на стойност 4 607,77 лв.  През изтеклата година получихме и над 300 книги от дарители на библиотеката. 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Материалната база на библиотеката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не е много добра. Стените са пропити от влагата, мазилката пада, мирише на мухъл, а част от книгите се похабяват. Помещението, в което се намира библиотеката е малко и става все по-трудно да се намери място за новите книги. 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Художествено-творческа дейност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този раздел ще разгледаме културните прояви, работата на школите, клубовете и съставите за любителско творчество, а също и участията им.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Както вече споменахме в доклада през голяма част от изминалата година дейността в читалището беше забранена или силно ограничена. Това наложи да се търсят нови форми на работа. Част от дейността ни се провеждаше дистанционно, а някой културни прояви и участия в конкурси на съставите ни бяха онлайн.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Тъй като и детските градини, училищата, центровете за хора с увреждания и клуба на пенсионера също не работеха или достъпът до тях беше забранен работихме предимно с хората, които посещават читалището и най-вече с децата от школите и съставите и с посетителите в библиотеката. 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Организирани бяха викторина, посветена на 235 годишнината от рождението на Якоб Грим под наслов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„Съкровищницата на Братя Грим; беседа „Зимните празници на българина“; децата от ДТС „Пламъче“ участваха в честването на 25 -тата годишнина на Агенция „Фаворит“ и в тържество, посветено на Деня на самодееца и на Баба Марта, а в началото на месец юли на открита сцена пред читалището представиха годишния си концерт „Падна чудна лятна нощ“, който бе заснет от Телевизия Шумен и излъчен в предаването „Седянка“; пред читалището беше проведена и забавна вечер с децата от състава „Танцуваме и спортуваме на открито“. Танцов клуб „Шумналии“ в партньорство с групи за народни хора от читалищата в Дивдядово и Царев брод организираха  пред ДКТ „Васил Друмев“ флашмоб „Пробуждане с хоро“, посветен на националния празник на България 3 март. През летните месеци работихме с малки групи деца, с които четохме книги, рисувахме, забавлявахме се.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За тях бяха организирани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разнообразни мероприятия - беседата „Знаем ли историята на родното си място?“; „Басните – забавни и поучителни“; „Нарисувай баснята, която най – много ти е харесала“; „Разкажи ми приказка“; „Познай гатанката или изпей песен“; „В света на танца“; „Спомен от лятото“ – рисуване върху миди и камъчета; „Подари вдъхновение“ – изработване на картички, използвайки различни техники; „Остър ум“ – решаване на кръстословици.  За краткото време след откриването на новия творчески сезон през есента и преди отново да забранят дейността в читалището в рамките на проект към Общински фонд „Култура“ беше проведен уъркшоп „Предай нататък“; видео заснемане на танца „Самодива“, изпълнен от ТК „Шумналии“ и на концерт на ДТС „Пламъче“ и ТК „Шумналии“.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Както вече казахме част от проявите бяха организирани и проведени онлайн. В Националния конкурс „България в сърцата и мечтите ни“ се включиха 150 деца със 160 литературни творби и рисунки. Имахме участници от Раднево, Карнобат, Царево, Бургас, Плачковци, Пловдив, Плевен, Силистра, Попово, Търговище, Видин, Варна, Троян, Дряново, Смядово, Шумен и др. На победителите в конкурса бяха изпратени грамоти и плакети. 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Онлайн бяха проведени и няколко викторини – литературна викторина върху произведения от българската и чуждата литература; викторините „Познаваме ли българската литература“, посветена на 24 май и „Шуменски будители“, посветена на Деня на будителите. Последните две викторини бяха проведени съвместно със Сдружение „Алдора“. 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Пред ученици от първи клас на СУ „Васил Левски“ онлайн беше изнесена беседата „Коледни празници и обичаи“.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През изминалата 2020 г. продължиха да работят школа по класически танци, школа по английски език, детски танцов състав „Пламъче“, клуб за народни хора „Шумналии“, а от есента работи и нов клуб „Възрожденци“ за пресъздаване на значими събития от българската история и за съхраняване на традициите. 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Школите, клубовете и съставите за любителско творчество работиха при нормални условия само през месеците януари и февруари, след което със заповеди на Министъра на здравеопазването дейността им или изцяло беше забранена, или разрешена при намален капацитет на ползване на залите и при строго спазване на противоепидемиологичните изисквания. Това наложи да се търсят иновативни форми на работа и да се премине към дистанционна форма на  работа там, където е възможно. За да запазят формациите си ръководителите проявиха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креативност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и организираха онлайн конкурси, беседи, концерти и репетиции. 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С децата от ДТС „Пламъче“ беше проведен онлайн „Урок по танци“, в който бяха представени фолклорните области с характерните за тях носии, песни, танци и обичаи. Децата се включиха активно и в </w:t>
      </w:r>
      <w:r>
        <w:rPr>
          <w:b w:val="false"/>
          <w:bCs w:val="false"/>
          <w:sz w:val="28"/>
          <w:szCs w:val="28"/>
        </w:rPr>
        <w:t>„Изложба на великденски яйца с логото на състава“.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С децата от Школата по класически танци беше организиран конкурс за най – артистична балетна поза, направиха интересни снимки за изработения видео клип „Аз, балерината, и моята коледна елха“.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А благодарение на нашите талантливи художествени ръководители Светла Денчева и Ростислав Борисов имахме удоволствието да се насладим макар и онлайн на два коледни концерта – балетен и фолклорен, които ни накараха да забравим за малко пандемията и да усетим коледния дух. Фолклорният концерт беше излъчен и по Телевизия Шумен.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Въпреки необичайната обстановка колективите участваха и във фестивали, събори, конкурси и др.</w:t>
      </w:r>
    </w:p>
    <w:p>
      <w:pPr>
        <w:pStyle w:val="Normal"/>
        <w:jc w:val="left"/>
        <w:rPr>
          <w:rFonts w:eastAsia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jc w:val="both"/>
        <w:rPr/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ДТС „Пламъче“ </w:t>
      </w:r>
      <w:r>
        <w:rPr>
          <w:rFonts w:eastAsia="Times New Roman"/>
          <w:b w:val="false"/>
          <w:bCs w:val="false"/>
          <w:sz w:val="28"/>
          <w:szCs w:val="28"/>
          <w:lang w:eastAsia="ar-SA"/>
        </w:rPr>
        <w:t xml:space="preserve">участва в ХVІІ Черноморски събор „Евро фолк“ – Китен откъдето се завърна с куп награди -  лауреат втора степен,  Почетна грамота, Грамота за съществен принос и Препоръка за участие в Световна купа по фолклор във Велико Търново. </w:t>
      </w:r>
    </w:p>
    <w:p>
      <w:pPr>
        <w:pStyle w:val="Normal"/>
        <w:jc w:val="both"/>
        <w:rPr/>
      </w:pPr>
      <w:r>
        <w:rPr>
          <w:rFonts w:eastAsia="Times New Roman"/>
          <w:sz w:val="28"/>
          <w:szCs w:val="28"/>
          <w:lang w:eastAsia="ar-SA"/>
        </w:rPr>
        <w:t xml:space="preserve">Съставът участва и в три онлайн фестивала: Международен фолклорен фестивал „Цветна плетеница“ - второ място, Фолклорен фестивал на хумора „Който се смее, не старее“ – с. Паламарца – втора награда и </w:t>
      </w:r>
      <w:r>
        <w:rPr>
          <w:rFonts w:eastAsia="Times New Roman"/>
          <w:b w:val="false"/>
          <w:bCs w:val="false"/>
          <w:sz w:val="28"/>
          <w:szCs w:val="28"/>
          <w:lang w:eastAsia="ar-SA"/>
        </w:rPr>
        <w:t>Национален детско юношески фолклорен фестивал „Мисионис пее и танцува”, където участваха две от децата с камерен танц.</w:t>
      </w:r>
    </w:p>
    <w:p>
      <w:pPr>
        <w:pStyle w:val="Normal"/>
        <w:jc w:val="both"/>
        <w:rPr>
          <w:rFonts w:eastAsia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jc w:val="both"/>
        <w:rPr/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ТК „Шумналии“ участва във </w:t>
      </w:r>
      <w:r>
        <w:rPr>
          <w:rFonts w:eastAsia="Times New Roman"/>
          <w:sz w:val="28"/>
          <w:szCs w:val="28"/>
          <w:lang w:eastAsia="ar-SA"/>
        </w:rPr>
        <w:t>Фестивал на българския фолклор „Пролетно надиграване“ – Варна и във Фолклорен фестивал „Дъга над морето“ – Лозенец.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Школата по класически танци /балет/ завоюва второ място на </w:t>
      </w:r>
      <w:r>
        <w:rPr>
          <w:rFonts w:eastAsia="Times New Roman"/>
          <w:sz w:val="28"/>
          <w:szCs w:val="28"/>
          <w:lang w:eastAsia="ar-SA"/>
        </w:rPr>
        <w:t xml:space="preserve">ІV </w:t>
      </w:r>
      <w:r>
        <w:rPr>
          <w:rFonts w:eastAsia="Times New Roman"/>
          <w:color w:val="000000"/>
          <w:sz w:val="28"/>
          <w:szCs w:val="28"/>
          <w:lang w:val="en-US" w:eastAsia="ar-SA"/>
        </w:rPr>
        <w:t>MOVMNT Internasional Dance Competition</w:t>
      </w:r>
      <w:r>
        <w:rPr>
          <w:rFonts w:eastAsia="Times New Roman"/>
          <w:color w:val="C9211E"/>
          <w:sz w:val="28"/>
          <w:szCs w:val="28"/>
          <w:lang w:val="en-US" w:eastAsia="ar-SA"/>
        </w:rPr>
        <w:t xml:space="preserve"> </w:t>
      </w:r>
      <w:r>
        <w:rPr>
          <w:rFonts w:eastAsia="Times New Roman"/>
          <w:sz w:val="28"/>
          <w:szCs w:val="28"/>
          <w:lang w:val="en-US" w:eastAsia="ar-SA"/>
        </w:rPr>
        <w:t xml:space="preserve">– </w:t>
      </w:r>
      <w:r>
        <w:rPr>
          <w:rFonts w:eastAsia="Times New Roman"/>
          <w:sz w:val="28"/>
          <w:szCs w:val="28"/>
          <w:lang w:eastAsia="ar-SA"/>
        </w:rPr>
        <w:t xml:space="preserve">Русе – второ място и участва 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Национална среща на детско-юношеските балетни състави – Лясковец, която няма конкурсен характер. 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Работа по проекти 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През 2020 г. имаме три одобрени проекта – един към Министерството на културата и два към общински фонд „Култура“.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Проектът към Министерството на културата е по програма „Българските библиотеки – съвременни центрове за четене и информираност“ и е за закупуване на нови книги. По този проект бяха закупени 312 книги на обща стойност 4 607,77 лв. Книгите са обработени и са на разположение на читателите в библиотеката. 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Вторият проект „Фолклорна семейна работилница” към Общински фонд „Култура“  беше спечелен от ръководителя на ДТС „Пламъче“ и ТК „Шумналии“ – Ростислав Борисов. В рамките на проекта се проведоха уъркшоп „Предай нататък”, онлайн беседа на тема „Традициите в семейството преди и сега”, виртуална коледна изложба и онлайн коледен концерт, който беше заснет още през месец октомври. Проектът беше успешно финализиран и отчетен.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Третият одобрен проект също беше към Общински фонд „Култура“ и носеше названието „Коледни фантазии“. В рамките на проекта трябваше да бъде подготвен и представен пред публика в залата на ДКТ „Васил Друмев“ коледен балетен концерт. За съжаление този проект не можа да бъде реализиран, тъй като още през месец октомври беше преустановена дейността на школите. След кореспонденция с председателя на фонда се стигна до решението, че поради настъпилата в страната извънредна епидемиологична обстановка проектът не може да бъде реализиран. По тази причина беше сключено взаимно споразумение за прекратяване на договора и за възстановяване на преведената сума, което вече е направено в упоменатия по договора срок.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Финансова дейността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И 2020 г. премина при строго спазване на финансовата дисциплина. По обясними причини приходът от такси от школите, клубовете и колективите за любителско творчество намаля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ха с около 40%. Въпреки това завършваме годината с добър финансов резултат. </w:t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риходи: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sz w:val="28"/>
          <w:szCs w:val="28"/>
          <w:lang w:val="bg-BG"/>
        </w:rPr>
      </w:pPr>
      <w:r>
        <w:rPr>
          <w:b w:val="false"/>
          <w:bCs w:val="false"/>
          <w:sz w:val="28"/>
          <w:szCs w:val="28"/>
          <w:lang w:val="bg-BG"/>
        </w:rPr>
        <w:t>Приходи от държавна субсидия                                   49 590,00 лв.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sz w:val="28"/>
          <w:szCs w:val="28"/>
          <w:lang w:val="bg-BG"/>
        </w:rPr>
      </w:pPr>
      <w:r>
        <w:rPr>
          <w:b w:val="false"/>
          <w:bCs w:val="false"/>
          <w:sz w:val="28"/>
          <w:szCs w:val="28"/>
          <w:lang w:val="bg-BG"/>
        </w:rPr>
        <w:t>Приходи от общинска субсидия                                     2 160,00 лв.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sz w:val="28"/>
          <w:szCs w:val="28"/>
          <w:lang w:val="bg-BG"/>
        </w:rPr>
      </w:pPr>
      <w:r>
        <w:rPr>
          <w:b w:val="false"/>
          <w:bCs w:val="false"/>
          <w:sz w:val="28"/>
          <w:szCs w:val="28"/>
          <w:lang w:val="bg-BG"/>
        </w:rPr>
        <w:t>Приходи от наеми                                                            2 380,00 лв.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sz w:val="28"/>
          <w:szCs w:val="28"/>
          <w:lang w:val="bg-BG"/>
        </w:rPr>
      </w:pPr>
      <w:r>
        <w:rPr>
          <w:b w:val="false"/>
          <w:bCs w:val="false"/>
          <w:sz w:val="28"/>
          <w:szCs w:val="28"/>
          <w:lang w:val="bg-BG"/>
        </w:rPr>
        <w:t>Приходи от ренти,членски внос                                        834,00 лв.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sz w:val="28"/>
          <w:szCs w:val="28"/>
          <w:lang w:val="bg-BG"/>
        </w:rPr>
      </w:pPr>
      <w:r>
        <w:rPr>
          <w:b w:val="false"/>
          <w:bCs w:val="false"/>
          <w:sz w:val="28"/>
          <w:szCs w:val="28"/>
          <w:lang w:val="bg-BG"/>
        </w:rPr>
        <w:t>Приходи по проекти                                                         5 607,77 лв.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sz w:val="28"/>
          <w:szCs w:val="28"/>
          <w:lang w:val="bg-BG"/>
        </w:rPr>
      </w:pPr>
      <w:r>
        <w:rPr>
          <w:b w:val="false"/>
          <w:bCs w:val="false"/>
          <w:sz w:val="28"/>
          <w:szCs w:val="28"/>
          <w:lang w:val="bg-BG"/>
        </w:rPr>
        <w:t xml:space="preserve">Приходи от дарения                                 </w:t>
      </w:r>
    </w:p>
    <w:p>
      <w:pPr>
        <w:pStyle w:val="Normal"/>
        <w:ind w:left="360" w:right="0" w:hanging="0"/>
        <w:jc w:val="both"/>
        <w:rPr>
          <w:b w:val="false"/>
          <w:b w:val="false"/>
          <w:bCs w:val="false"/>
          <w:sz w:val="28"/>
          <w:szCs w:val="28"/>
          <w:lang w:val="bg-BG"/>
        </w:rPr>
      </w:pPr>
      <w:r>
        <w:rPr>
          <w:b w:val="false"/>
          <w:bCs w:val="false"/>
          <w:sz w:val="28"/>
          <w:szCs w:val="28"/>
          <w:lang w:val="bg-BG"/>
        </w:rPr>
        <w:t>Други приходи                                                                   4 675,70 лв.</w:t>
      </w:r>
    </w:p>
    <w:p>
      <w:pPr>
        <w:pStyle w:val="Normal"/>
        <w:ind w:left="360" w:right="0" w:hanging="0"/>
        <w:jc w:val="both"/>
        <w:rPr>
          <w:b w:val="false"/>
          <w:b w:val="false"/>
          <w:bCs w:val="false"/>
          <w:sz w:val="28"/>
          <w:szCs w:val="28"/>
          <w:lang w:val="bg-BG"/>
        </w:rPr>
      </w:pPr>
      <w:r>
        <w:rPr>
          <w:b w:val="false"/>
          <w:bCs w:val="false"/>
          <w:sz w:val="28"/>
          <w:szCs w:val="28"/>
          <w:lang w:val="bg-BG"/>
        </w:rPr>
        <w:t>Салдо 01.01.2020 г.                                                           29 770,90 лв.</w:t>
      </w:r>
    </w:p>
    <w:p>
      <w:pPr>
        <w:pStyle w:val="Normal"/>
        <w:tabs>
          <w:tab w:val="clear" w:pos="709"/>
          <w:tab w:val="left" w:pos="4536" w:leader="none"/>
        </w:tabs>
        <w:jc w:val="both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Общо приходи                                                                      95 018,37 лв.</w:t>
      </w:r>
    </w:p>
    <w:p>
      <w:pPr>
        <w:pStyle w:val="Normal"/>
        <w:tabs>
          <w:tab w:val="clear" w:pos="709"/>
          <w:tab w:val="left" w:pos="4536" w:leader="none"/>
        </w:tabs>
        <w:jc w:val="both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jc w:val="both"/>
        <w:rPr/>
      </w:pPr>
      <w:r>
        <w:rPr>
          <w:b/>
          <w:sz w:val="28"/>
          <w:szCs w:val="28"/>
          <w:lang w:val="bg-BG"/>
        </w:rPr>
        <w:t>4. Разходи за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bg-BG"/>
        </w:rPr>
        <w:t xml:space="preserve"> г.:</w:t>
      </w:r>
    </w:p>
    <w:p>
      <w:pPr>
        <w:pStyle w:val="Normal"/>
        <w:jc w:val="both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jc w:val="both"/>
        <w:rPr/>
      </w:pPr>
      <w:r>
        <w:rPr>
          <w:b/>
          <w:sz w:val="28"/>
          <w:szCs w:val="28"/>
          <w:lang w:val="bg-BG"/>
        </w:rPr>
        <w:t xml:space="preserve">- </w:t>
      </w:r>
      <w:r>
        <w:rPr>
          <w:sz w:val="28"/>
          <w:szCs w:val="28"/>
          <w:lang w:val="bg-BG"/>
        </w:rPr>
        <w:t>заплати по трудови провоотношения</w:t>
      </w:r>
      <w:r>
        <w:rPr>
          <w:b/>
          <w:sz w:val="28"/>
          <w:szCs w:val="28"/>
          <w:lang w:val="bg-BG"/>
        </w:rPr>
        <w:t xml:space="preserve"> </w:t>
        <w:tab/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ru-RU"/>
        </w:rPr>
        <w:t xml:space="preserve">      </w:t>
      </w:r>
      <w:r>
        <w:rPr>
          <w:rFonts w:eastAsia="Times New Roman" w:cs="Times New Roman"/>
          <w:color w:val="auto"/>
          <w:sz w:val="28"/>
          <w:szCs w:val="28"/>
          <w:lang w:val="bg-BG" w:eastAsia="zh-CN" w:bidi="ar-SA"/>
        </w:rPr>
        <w:t>41 034,31</w:t>
      </w:r>
      <w:r>
        <w:rPr>
          <w:sz w:val="28"/>
          <w:szCs w:val="28"/>
          <w:lang w:val="bg-BG"/>
        </w:rPr>
        <w:t xml:space="preserve"> лв.</w:t>
      </w:r>
    </w:p>
    <w:p>
      <w:pPr>
        <w:pStyle w:val="Normal"/>
        <w:jc w:val="both"/>
        <w:rPr/>
      </w:pPr>
      <w:r>
        <w:rPr>
          <w:sz w:val="28"/>
          <w:szCs w:val="28"/>
          <w:lang w:val="bg-BG"/>
        </w:rPr>
        <w:t xml:space="preserve">- хонорари по извънтрудови провоотношения </w:t>
        <w:tab/>
        <w:tab/>
      </w:r>
      <w:r>
        <w:rPr>
          <w:sz w:val="28"/>
          <w:szCs w:val="28"/>
          <w:lang w:val="ru-RU"/>
        </w:rPr>
        <w:t xml:space="preserve">        </w:t>
      </w:r>
      <w:r>
        <w:rPr>
          <w:rFonts w:eastAsia="Times New Roman" w:cs="Times New Roman"/>
          <w:color w:val="auto"/>
          <w:sz w:val="28"/>
          <w:szCs w:val="28"/>
          <w:lang w:val="bg-BG" w:eastAsia="zh-CN" w:bidi="ar-SA"/>
        </w:rPr>
        <w:t>2 964,07</w:t>
      </w:r>
      <w:r>
        <w:rPr>
          <w:sz w:val="28"/>
          <w:szCs w:val="28"/>
          <w:lang w:val="bg-BG"/>
        </w:rPr>
        <w:t xml:space="preserve"> лв.</w:t>
      </w:r>
    </w:p>
    <w:p>
      <w:pPr>
        <w:pStyle w:val="Normal"/>
        <w:jc w:val="both"/>
        <w:rPr/>
      </w:pPr>
      <w:r>
        <w:rPr>
          <w:sz w:val="28"/>
          <w:szCs w:val="28"/>
          <w:lang w:val="bg-BG"/>
        </w:rPr>
        <w:t>- командировки</w:t>
        <w:tab/>
        <w:tab/>
        <w:tab/>
        <w:tab/>
        <w:tab/>
        <w:tab/>
        <w:tab/>
      </w:r>
      <w:r>
        <w:rPr>
          <w:sz w:val="28"/>
          <w:szCs w:val="28"/>
          <w:lang w:val="ru-RU"/>
        </w:rPr>
        <w:tab/>
        <w:t xml:space="preserve">   </w:t>
      </w:r>
      <w:r>
        <w:rPr>
          <w:rFonts w:eastAsia="Times New Roman" w:cs="Times New Roman"/>
          <w:color w:val="auto"/>
          <w:sz w:val="28"/>
          <w:szCs w:val="28"/>
          <w:lang w:val="bg-BG" w:eastAsia="zh-CN" w:bidi="ar-SA"/>
        </w:rPr>
        <w:t>92,00</w:t>
      </w:r>
      <w:r>
        <w:rPr>
          <w:sz w:val="28"/>
          <w:szCs w:val="28"/>
          <w:lang w:val="bg-BG"/>
        </w:rPr>
        <w:t xml:space="preserve"> лв.</w:t>
      </w:r>
    </w:p>
    <w:p>
      <w:pPr>
        <w:pStyle w:val="Normal"/>
        <w:jc w:val="both"/>
        <w:rPr/>
      </w:pPr>
      <w:r>
        <w:rPr>
          <w:sz w:val="28"/>
          <w:szCs w:val="28"/>
          <w:lang w:val="bg-BG"/>
        </w:rPr>
        <w:t>- канцеларски материали</w:t>
        <w:tab/>
        <w:tab/>
        <w:tab/>
        <w:tab/>
        <w:tab/>
      </w:r>
      <w:r>
        <w:rPr>
          <w:sz w:val="28"/>
          <w:szCs w:val="28"/>
          <w:lang w:val="ru-RU"/>
        </w:rPr>
        <w:tab/>
        <w:t xml:space="preserve"> </w:t>
      </w:r>
      <w:r>
        <w:rPr>
          <w:rFonts w:eastAsia="Times New Roman" w:cs="Times New Roman"/>
          <w:color w:val="auto"/>
          <w:sz w:val="28"/>
          <w:szCs w:val="28"/>
          <w:lang w:val="bg-BG" w:eastAsia="zh-CN" w:bidi="ar-SA"/>
        </w:rPr>
        <w:t xml:space="preserve">194,25 </w:t>
      </w:r>
      <w:r>
        <w:rPr>
          <w:sz w:val="28"/>
          <w:szCs w:val="28"/>
          <w:lang w:val="bg-BG"/>
        </w:rPr>
        <w:t>лв.</w:t>
      </w:r>
    </w:p>
    <w:p>
      <w:pPr>
        <w:pStyle w:val="Normal"/>
        <w:jc w:val="both"/>
        <w:rPr/>
      </w:pPr>
      <w:r>
        <w:rPr>
          <w:sz w:val="28"/>
          <w:szCs w:val="28"/>
          <w:lang w:val="bg-BG"/>
        </w:rPr>
        <w:t>- консумативи, стопански разходи</w:t>
        <w:tab/>
        <w:tab/>
        <w:tab/>
        <w:tab/>
      </w:r>
      <w:r>
        <w:rPr>
          <w:sz w:val="28"/>
          <w:szCs w:val="28"/>
          <w:lang w:val="ru-RU"/>
        </w:rPr>
        <w:t xml:space="preserve">        </w:t>
      </w:r>
      <w:r>
        <w:rPr>
          <w:rFonts w:eastAsia="Times New Roman" w:cs="Times New Roman"/>
          <w:color w:val="auto"/>
          <w:sz w:val="28"/>
          <w:szCs w:val="28"/>
          <w:lang w:val="bg-BG" w:eastAsia="zh-CN" w:bidi="ar-SA"/>
        </w:rPr>
        <w:t xml:space="preserve">6 105,37 </w:t>
      </w:r>
      <w:r>
        <w:rPr>
          <w:sz w:val="28"/>
          <w:szCs w:val="28"/>
          <w:lang w:val="bg-BG"/>
        </w:rPr>
        <w:t xml:space="preserve">лв. </w:t>
      </w:r>
    </w:p>
    <w:p>
      <w:pPr>
        <w:pStyle w:val="Normal"/>
        <w:jc w:val="both"/>
        <w:rPr/>
      </w:pPr>
      <w:r>
        <w:rPr>
          <w:sz w:val="28"/>
          <w:szCs w:val="28"/>
          <w:lang w:val="bg-BG"/>
        </w:rPr>
        <w:t>- културно-масова дейност</w:t>
        <w:tab/>
        <w:tab/>
        <w:tab/>
        <w:tab/>
        <w:tab/>
      </w:r>
      <w:r>
        <w:rPr>
          <w:sz w:val="28"/>
          <w:szCs w:val="28"/>
          <w:lang w:val="ru-RU"/>
        </w:rPr>
        <w:t xml:space="preserve">        </w:t>
      </w:r>
      <w:r>
        <w:rPr>
          <w:rFonts w:eastAsia="Times New Roman" w:cs="Times New Roman"/>
          <w:color w:val="auto"/>
          <w:sz w:val="28"/>
          <w:szCs w:val="28"/>
          <w:lang w:val="bg-BG" w:eastAsia="zh-CN" w:bidi="ar-SA"/>
        </w:rPr>
        <w:t>1 980,81</w:t>
      </w:r>
      <w:r>
        <w:rPr>
          <w:sz w:val="28"/>
          <w:szCs w:val="28"/>
          <w:lang w:val="bg-BG"/>
        </w:rPr>
        <w:t xml:space="preserve"> лв.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  <w:lang w:val="bg-BG"/>
        </w:rPr>
        <w:t xml:space="preserve">библиотечна дейност </w:t>
        <w:tab/>
        <w:tab/>
        <w:tab/>
        <w:tab/>
        <w:tab/>
        <w:t xml:space="preserve">        </w:t>
      </w:r>
      <w:r>
        <w:rPr>
          <w:rFonts w:eastAsia="Times New Roman" w:cs="Times New Roman"/>
          <w:color w:val="auto"/>
          <w:sz w:val="28"/>
          <w:szCs w:val="28"/>
          <w:lang w:val="bg-BG" w:eastAsia="zh-CN" w:bidi="ar-SA"/>
        </w:rPr>
        <w:t>5 266,01</w:t>
      </w:r>
      <w:r>
        <w:rPr>
          <w:sz w:val="28"/>
          <w:szCs w:val="28"/>
          <w:lang w:val="bg-BG"/>
        </w:rPr>
        <w:t xml:space="preserve"> лв.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други /какви/                                                                        2 574,39 лв.</w:t>
      </w:r>
    </w:p>
    <w:p>
      <w:pPr>
        <w:pStyle w:val="Normal"/>
        <w:ind w:left="360" w:right="0" w:hanging="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(за 2 бр. компютърни конфигурации, касов апарат и др.)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  <w:lang w:val="bg-BG"/>
        </w:rPr>
        <w:t>ремонт……………………</w:t>
        <w:tab/>
        <w:tab/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bg-BG"/>
        </w:rPr>
        <w:t xml:space="preserve">         …………….</w:t>
      </w:r>
      <w:r>
        <w:rPr>
          <w:sz w:val="28"/>
          <w:szCs w:val="28"/>
        </w:rPr>
        <w:t>..</w:t>
      </w:r>
      <w:r>
        <w:rPr>
          <w:sz w:val="28"/>
          <w:szCs w:val="28"/>
          <w:lang w:val="bg-BG"/>
        </w:rPr>
        <w:t>. лв.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/>
          <w:bCs w:val="false"/>
          <w:sz w:val="28"/>
          <w:szCs w:val="28"/>
          <w:lang w:val="bg-BG"/>
        </w:rPr>
        <w:t>Общо разходи за 20</w:t>
      </w:r>
      <w:r>
        <w:rPr>
          <w:rFonts w:eastAsia="Times New Roman" w:cs="Times New Roman" w:ascii="Times New Roman" w:hAnsi="Times New Roman"/>
          <w:b/>
          <w:bCs w:val="false"/>
          <w:sz w:val="28"/>
          <w:szCs w:val="28"/>
        </w:rPr>
        <w:t>20</w:t>
      </w:r>
      <w:r>
        <w:rPr>
          <w:rFonts w:eastAsia="Times New Roman" w:cs="Times New Roman" w:ascii="Times New Roman" w:hAnsi="Times New Roman"/>
          <w:b/>
          <w:bCs w:val="false"/>
          <w:sz w:val="28"/>
          <w:szCs w:val="28"/>
          <w:lang w:val="bg-BG"/>
        </w:rPr>
        <w:t xml:space="preserve"> г.</w:t>
        <w:tab/>
        <w:tab/>
        <w:tab/>
        <w:tab/>
        <w:tab/>
        <w:t xml:space="preserve">      </w:t>
      </w:r>
      <w:r>
        <w:rPr>
          <w:rFonts w:eastAsia="Times New Roman" w:cs="Times New Roman" w:ascii="Times New Roman" w:hAnsi="Times New Roman"/>
          <w:b/>
          <w:bCs w:val="false"/>
          <w:color w:val="auto"/>
          <w:sz w:val="28"/>
          <w:szCs w:val="28"/>
          <w:lang w:val="bg-BG" w:eastAsia="zh-CN" w:bidi="ar-SA"/>
        </w:rPr>
        <w:t xml:space="preserve">60 211,21 </w:t>
      </w:r>
      <w:r>
        <w:rPr>
          <w:rFonts w:eastAsia="Times New Roman" w:cs="Times New Roman" w:ascii="Times New Roman" w:hAnsi="Times New Roman"/>
          <w:b/>
          <w:bCs w:val="false"/>
          <w:sz w:val="28"/>
          <w:szCs w:val="28"/>
          <w:lang w:val="bg-BG"/>
        </w:rPr>
        <w:t>лв.</w:t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През изминалата година и Читалищното настоятелство работи в необичайни условия, почти без срещи на живо. Материалите бяха изпращани по електронната поща и понякога обсъждани по телефона. Но независимо от начина на работа всички въпроси, касаещи читалищната дейност бяха разглеждани своевременно и бяха взети съответните решения. 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Накрая искам да изкаж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 благодарност на читалищното настоятелство, проверителната комисия и на щатния и нещатен читалищен екип, които въпреки извънредната ситуация, в която бяха поставени, работиха сплотено и отговорно за доброто на нашата културна институция и за духовността на нашия град.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b/>
        <w:szCs w:val="28"/>
        <w:lang w:val="bg-BG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bg-BG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  <w:style w:type="character" w:styleId="WW8Num5z0">
    <w:name w:val="WW8Num5z0"/>
    <w:qFormat/>
    <w:rPr>
      <w:b/>
      <w:sz w:val="28"/>
      <w:szCs w:val="28"/>
      <w:lang w:val="bg-BG"/>
    </w:rPr>
  </w:style>
  <w:style w:type="character" w:styleId="WW8Num3z0">
    <w:name w:val="WW8Num3z0"/>
    <w:qFormat/>
    <w:rPr>
      <w:rFonts w:ascii="Times New Roman" w:hAnsi="Times New Roman" w:cs="Times New Roman"/>
      <w:sz w:val="28"/>
      <w:szCs w:val="28"/>
      <w:lang w:val="bg-BG"/>
    </w:rPr>
  </w:style>
  <w:style w:type="paragraph" w:styleId="Style14">
    <w:name w:val="Заглавие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40"/>
      <w:ind w:left="720" w:right="-284" w:firstLine="284"/>
      <w:contextualSpacing/>
    </w:pPr>
    <w:rPr/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  <w:style w:type="numbering" w:styleId="WW8Num5">
    <w:name w:val="WW8Num5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LibreOffice/6.4.5.2$Windows_X86_64 LibreOffice_project/a726b36747cf2001e06b58ad5db1aa3a9a1872d6</Application>
  <Pages>5</Pages>
  <Words>1794</Words>
  <Characters>10275</Characters>
  <CharactersWithSpaces>12668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bg-BG</dc:language>
  <cp:lastModifiedBy/>
  <dcterms:modified xsi:type="dcterms:W3CDTF">2021-03-01T13:30:04Z</dcterms:modified>
  <cp:revision>5</cp:revision>
  <dc:subject/>
  <dc:title/>
</cp:coreProperties>
</file>